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E9" w:rsidRPr="00E82FE9" w:rsidRDefault="00E82FE9" w:rsidP="00E82FE9">
      <w:pPr>
        <w:pStyle w:val="Ttulo"/>
        <w:rPr>
          <w:rFonts w:eastAsiaTheme="minorHAnsi"/>
        </w:rPr>
      </w:pPr>
      <w:r w:rsidRPr="00E82FE9">
        <w:rPr>
          <w:rFonts w:eastAsiaTheme="minorHAnsi"/>
        </w:rPr>
        <w:t xml:space="preserve">RECOMENDAÇÃO Nº. 11/2016 </w:t>
      </w:r>
    </w:p>
    <w:p w:rsidR="00E82FE9" w:rsidRDefault="00E82FE9" w:rsidP="00E82FE9"/>
    <w:p w:rsidR="00E82FE9" w:rsidRPr="00E82FE9" w:rsidRDefault="00E82FE9" w:rsidP="00E82FE9">
      <w:pPr>
        <w:pStyle w:val="SemEspaamento"/>
      </w:pPr>
      <w:r w:rsidRPr="00E82FE9">
        <w:t xml:space="preserve">Dispõe sobre a obrigatoriedade de comunicação ao juízo da execução penal da decretação de prisão preventiva de pessoa com execução penal em curso. </w:t>
      </w:r>
    </w:p>
    <w:p w:rsidR="00E82FE9" w:rsidRDefault="00E82FE9" w:rsidP="00E82FE9"/>
    <w:p w:rsidR="00E82FE9" w:rsidRPr="00E82FE9" w:rsidRDefault="00E82FE9" w:rsidP="00E82FE9">
      <w:r w:rsidRPr="007E7DEB">
        <w:t xml:space="preserve">A </w:t>
      </w:r>
      <w:r w:rsidRPr="00E82FE9">
        <w:rPr>
          <w:b/>
        </w:rPr>
        <w:t>CORREGEDORA-GERAL DA JUSTIÇA</w:t>
      </w:r>
      <w:r w:rsidRPr="007E7DEB">
        <w:t>,</w:t>
      </w:r>
      <w:r w:rsidRPr="00E82FE9">
        <w:rPr>
          <w:b/>
        </w:rPr>
        <w:t xml:space="preserve"> DESEMBARGADORA REGINA FERRARI</w:t>
      </w:r>
      <w:r w:rsidRPr="00E82FE9">
        <w:t xml:space="preserve">, no uso de suas atribuições legais e regimentais,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CONSIDERANDO</w:t>
      </w:r>
      <w:r w:rsidRPr="00E82FE9">
        <w:t xml:space="preserve"> a missão institucional da Corregedoria-Geral da Justiça de pres</w:t>
      </w:r>
      <w:r w:rsidRPr="00E82FE9">
        <w:softHyphen/>
        <w:t xml:space="preserve">tar auxílio e orientação aos magistrados e servidores em atuação no primeiro grau de jurisdição, de modo a permitir o desenvolvimento dos bons serviços a cargo do Poder Judiciário;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CONSIDERANDO</w:t>
      </w:r>
      <w:r w:rsidRPr="00E82FE9">
        <w:t xml:space="preserve"> o amplo plexo de atribuições do órgão jurisdicional encarregado da execução penal no tocante à necessidade de constante avaliação de crité</w:t>
      </w:r>
      <w:r w:rsidRPr="00E82FE9">
        <w:softHyphen/>
        <w:t>rios objetivos e subjetivos para progressão de regime e concessão de saídas temporárias à pessoa em cumprimento de pena, nos termos do artigo 66, inci</w:t>
      </w:r>
      <w:r w:rsidRPr="00E82FE9">
        <w:softHyphen/>
        <w:t xml:space="preserve">sos III e IV, da Lei nº 7.210/84;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CONSIDERANDO</w:t>
      </w:r>
      <w:r w:rsidRPr="00E82FE9">
        <w:t xml:space="preserve"> que o descumprimento das regras imposta pela lei e pelo Juízo da execução penal repercutem diretamente na progressão de regime da pes</w:t>
      </w:r>
      <w:r w:rsidRPr="00E82FE9">
        <w:softHyphen/>
        <w:t>soa detida, cuja prática de novo fato definido como crime pode ensejar falta grave e consequente regressão a regime de cumprimento de pena mais rigoro</w:t>
      </w:r>
      <w:r w:rsidRPr="00E82FE9">
        <w:softHyphen/>
        <w:t xml:space="preserve">so, nos termos dos artigos 118, I, 125, 127, 181,§§1º, alínea “d”, e 2º, da LEP;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CONSIDERANDO</w:t>
      </w:r>
      <w:r w:rsidRPr="00E82FE9">
        <w:t xml:space="preserve"> o crescente número de prisões preventivas decretadas em des</w:t>
      </w:r>
      <w:r w:rsidRPr="00E82FE9">
        <w:softHyphen/>
        <w:t>favor de pessoas com processo de execução penal em curso, cuja informação da imposição da medida cautelar não chega até à unidade jurisdicional espe</w:t>
      </w:r>
      <w:r w:rsidRPr="00E82FE9">
        <w:softHyphen/>
        <w:t xml:space="preserve">cializada;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CONSIDERANDO</w:t>
      </w:r>
      <w:r w:rsidRPr="00E82FE9">
        <w:t xml:space="preserve"> que a Resolução CNJ nº 113, de 20 de abril de 2010, exige do Juízo criminal de conhecimento o envio de cópias do mandado de prisão tem</w:t>
      </w:r>
      <w:r w:rsidRPr="00E82FE9">
        <w:softHyphen/>
        <w:t xml:space="preserve">porária e/ou </w:t>
      </w:r>
      <w:r w:rsidRPr="00E82FE9">
        <w:lastRenderedPageBreak/>
        <w:t xml:space="preserve">preventiva para formação e desenvolvimento da execução penal, bem assim de “cópias de outras peças do processo reputadas indispensáveis à adequada execução da pena”, nos termos do artigo 1º, incisos VII e XIII, e parágrafo único da mencionada norma regulamentar,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RESOLVE</w:t>
      </w:r>
      <w:r w:rsidRPr="00E82FE9">
        <w:t xml:space="preserve">: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Art. 1º</w:t>
      </w:r>
      <w:r w:rsidRPr="00E82FE9">
        <w:t xml:space="preserve"> Recomendar os Juízes de Direito do Estado do Acre que informem à unidade jurisdicional com atribuição de execução penal a prisão cautelar da pessoa com processo de execução penal em curso. </w:t>
      </w:r>
    </w:p>
    <w:p w:rsidR="00E82FE9" w:rsidRDefault="00E82FE9" w:rsidP="00E82FE9"/>
    <w:p w:rsidR="00E82FE9" w:rsidRPr="00E82FE9" w:rsidRDefault="00E82FE9" w:rsidP="00E82FE9">
      <w:r w:rsidRPr="00E82FE9">
        <w:rPr>
          <w:b/>
        </w:rPr>
        <w:t>Art. 2º</w:t>
      </w:r>
      <w:r w:rsidRPr="00E82FE9">
        <w:t xml:space="preserve"> Esta Recomendação entra em vigor na data da sua publicação. </w:t>
      </w:r>
    </w:p>
    <w:p w:rsidR="00E82FE9" w:rsidRDefault="00E82FE9" w:rsidP="00E82FE9"/>
    <w:p w:rsidR="00E82FE9" w:rsidRPr="00E82FE9" w:rsidRDefault="00E82FE9" w:rsidP="00E82FE9">
      <w:r w:rsidRPr="00E82FE9">
        <w:t xml:space="preserve">Publique-se. </w:t>
      </w:r>
    </w:p>
    <w:p w:rsidR="00E82FE9" w:rsidRDefault="00E82FE9" w:rsidP="00E82FE9"/>
    <w:p w:rsidR="00E82FE9" w:rsidRPr="00E82FE9" w:rsidRDefault="00E82FE9" w:rsidP="00E82FE9">
      <w:r w:rsidRPr="00E82FE9">
        <w:t xml:space="preserve">Rio Branco, 15 de dezembro de 2016. </w:t>
      </w:r>
    </w:p>
    <w:p w:rsidR="00E82FE9" w:rsidRDefault="00E82FE9" w:rsidP="00E82FE9"/>
    <w:p w:rsidR="00E82FE9" w:rsidRDefault="00E82FE9" w:rsidP="00E82FE9"/>
    <w:p w:rsidR="00E82FE9" w:rsidRDefault="00E82FE9" w:rsidP="00E82FE9"/>
    <w:p w:rsidR="00E82FE9" w:rsidRPr="00E82FE9" w:rsidRDefault="00E82FE9" w:rsidP="00E82FE9">
      <w:pPr>
        <w:pStyle w:val="Ttulo3"/>
        <w:rPr>
          <w:rFonts w:eastAsiaTheme="minorHAnsi"/>
        </w:rPr>
      </w:pPr>
      <w:r w:rsidRPr="00E82FE9">
        <w:rPr>
          <w:rFonts w:eastAsiaTheme="minorHAnsi"/>
        </w:rPr>
        <w:t xml:space="preserve">Desembargadora </w:t>
      </w:r>
      <w:r w:rsidRPr="00E82FE9">
        <w:rPr>
          <w:rFonts w:eastAsiaTheme="minorHAnsi"/>
          <w:b/>
        </w:rPr>
        <w:t>Regina Ferrari</w:t>
      </w:r>
      <w:r w:rsidRPr="00E82FE9">
        <w:rPr>
          <w:rFonts w:eastAsiaTheme="minorHAnsi"/>
        </w:rPr>
        <w:t xml:space="preserve"> </w:t>
      </w:r>
    </w:p>
    <w:p w:rsidR="00E02F1C" w:rsidRDefault="00E82FE9" w:rsidP="00E82FE9">
      <w:pPr>
        <w:pStyle w:val="Ttulo3"/>
      </w:pPr>
      <w:r w:rsidRPr="00E82FE9">
        <w:rPr>
          <w:rFonts w:eastAsiaTheme="minorHAnsi"/>
        </w:rPr>
        <w:t>Corregedora-Geral da Justiça</w:t>
      </w:r>
    </w:p>
    <w:p w:rsidR="00E82FE9" w:rsidRDefault="00E82FE9" w:rsidP="00E82FE9"/>
    <w:p w:rsidR="00E82FE9" w:rsidRDefault="00E82FE9" w:rsidP="00E82FE9"/>
    <w:p w:rsidR="00E82FE9" w:rsidRDefault="00E82FE9" w:rsidP="00E82FE9"/>
    <w:p w:rsidR="00E82FE9" w:rsidRDefault="00E82FE9" w:rsidP="00E82FE9"/>
    <w:p w:rsidR="00E82FE9" w:rsidRDefault="00E82FE9" w:rsidP="00E82FE9"/>
    <w:p w:rsidR="00E82FE9" w:rsidRDefault="00E82FE9" w:rsidP="00E82FE9"/>
    <w:p w:rsidR="00723AB0" w:rsidRDefault="00723AB0" w:rsidP="00E82FE9"/>
    <w:p w:rsidR="00723AB0" w:rsidRDefault="00723AB0" w:rsidP="00E82FE9"/>
    <w:p w:rsidR="00E82FE9" w:rsidRDefault="00E82FE9" w:rsidP="00E82FE9"/>
    <w:p w:rsidR="00E82FE9" w:rsidRDefault="00E82FE9" w:rsidP="00E82FE9"/>
    <w:p w:rsidR="00E82FE9" w:rsidRDefault="00E82FE9" w:rsidP="00E82FE9"/>
    <w:p w:rsidR="00723AB0" w:rsidRDefault="00723AB0" w:rsidP="00723AB0">
      <w:pPr>
        <w:spacing w:line="240" w:lineRule="auto"/>
        <w:ind w:firstLine="0"/>
        <w:rPr>
          <w:color w:val="FF0000"/>
        </w:rPr>
      </w:pPr>
    </w:p>
    <w:p w:rsidR="005D3AE3" w:rsidRPr="00E82FE9" w:rsidRDefault="00DB5F7E" w:rsidP="00723AB0">
      <w:pPr>
        <w:spacing w:line="240" w:lineRule="auto"/>
        <w:ind w:firstLine="0"/>
        <w:rPr>
          <w:color w:val="FF0000"/>
        </w:rPr>
      </w:pPr>
      <w:r w:rsidRPr="00E82FE9">
        <w:rPr>
          <w:color w:val="FF0000"/>
        </w:rPr>
        <w:t>Publicado no DJE nº 5.</w:t>
      </w:r>
      <w:r w:rsidR="00E82FE9" w:rsidRPr="00E82FE9">
        <w:rPr>
          <w:color w:val="FF0000"/>
        </w:rPr>
        <w:t>785</w:t>
      </w:r>
      <w:r w:rsidRPr="00E82FE9">
        <w:rPr>
          <w:color w:val="FF0000"/>
        </w:rPr>
        <w:t xml:space="preserve">, de </w:t>
      </w:r>
      <w:r w:rsidR="00E82FE9" w:rsidRPr="00E82FE9">
        <w:rPr>
          <w:color w:val="FF0000"/>
        </w:rPr>
        <w:t>19</w:t>
      </w:r>
      <w:r w:rsidRPr="00E82FE9">
        <w:rPr>
          <w:color w:val="FF0000"/>
        </w:rPr>
        <w:t>.</w:t>
      </w:r>
      <w:r w:rsidR="00E82FE9" w:rsidRPr="00E82FE9">
        <w:rPr>
          <w:color w:val="FF0000"/>
        </w:rPr>
        <w:t>12</w:t>
      </w:r>
      <w:r w:rsidR="00806A11">
        <w:rPr>
          <w:color w:val="FF0000"/>
        </w:rPr>
        <w:t xml:space="preserve">.2015, fl. </w:t>
      </w:r>
      <w:r w:rsidR="00E82FE9" w:rsidRPr="00E82FE9">
        <w:rPr>
          <w:color w:val="FF0000"/>
        </w:rPr>
        <w:t>90</w:t>
      </w:r>
      <w:r w:rsidRPr="00E82FE9">
        <w:rPr>
          <w:color w:val="FF0000"/>
        </w:rPr>
        <w:t>.</w:t>
      </w:r>
      <w:bookmarkStart w:id="0" w:name="_GoBack"/>
      <w:bookmarkEnd w:id="0"/>
    </w:p>
    <w:sectPr w:rsidR="005D3AE3" w:rsidRPr="00E82FE9" w:rsidSect="005D3AE3">
      <w:headerReference w:type="default" r:id="rId8"/>
      <w:footerReference w:type="default" r:id="rId9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16" w:rsidRDefault="00EA3C16" w:rsidP="009925B9">
      <w:pPr>
        <w:spacing w:line="240" w:lineRule="auto"/>
      </w:pPr>
      <w:r>
        <w:separator/>
      </w:r>
    </w:p>
  </w:endnote>
  <w:endnote w:type="continuationSeparator" w:id="0">
    <w:p w:rsidR="00EA3C16" w:rsidRDefault="00EA3C16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E82FE9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4DD02ADF" wp14:editId="46098B0C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DC2026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DC2026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16" w:rsidRDefault="00EA3C16" w:rsidP="009925B9">
      <w:pPr>
        <w:spacing w:line="240" w:lineRule="auto"/>
      </w:pPr>
      <w:r>
        <w:separator/>
      </w:r>
    </w:p>
  </w:footnote>
  <w:footnote w:type="continuationSeparator" w:id="0">
    <w:p w:rsidR="00EA3C16" w:rsidRDefault="00EA3C16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3E38516" wp14:editId="3A755E7B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5444BB" w:rsidRDefault="00D80DB1" w:rsidP="005444BB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4B6923">
      <w:rPr>
        <w:rFonts w:ascii="Arial" w:hAnsi="Arial" w:cs="Arial"/>
        <w:b/>
        <w:sz w:val="20"/>
        <w:szCs w:val="20"/>
      </w:rPr>
      <w:t>Corregedoria Geral da Justiça</w:t>
    </w:r>
  </w:p>
  <w:p w:rsidR="005444BB" w:rsidRPr="005444BB" w:rsidRDefault="005444BB" w:rsidP="005444BB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E82FE9" w:rsidP="005444BB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7CFC23DC" wp14:editId="6FF89AAB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94CB6"/>
    <w:rsid w:val="000A7949"/>
    <w:rsid w:val="00101207"/>
    <w:rsid w:val="00112D77"/>
    <w:rsid w:val="00116715"/>
    <w:rsid w:val="0016334B"/>
    <w:rsid w:val="001845D7"/>
    <w:rsid w:val="001D1793"/>
    <w:rsid w:val="00206625"/>
    <w:rsid w:val="00242E49"/>
    <w:rsid w:val="00244092"/>
    <w:rsid w:val="002764BD"/>
    <w:rsid w:val="00282EC8"/>
    <w:rsid w:val="00287ECB"/>
    <w:rsid w:val="002D1D49"/>
    <w:rsid w:val="002F2F73"/>
    <w:rsid w:val="00314BF8"/>
    <w:rsid w:val="00335DE8"/>
    <w:rsid w:val="00367A29"/>
    <w:rsid w:val="00370BB1"/>
    <w:rsid w:val="003C3E44"/>
    <w:rsid w:val="003E6A51"/>
    <w:rsid w:val="00414118"/>
    <w:rsid w:val="00416ED1"/>
    <w:rsid w:val="00427907"/>
    <w:rsid w:val="0045096E"/>
    <w:rsid w:val="004557DC"/>
    <w:rsid w:val="004B6923"/>
    <w:rsid w:val="004E55C2"/>
    <w:rsid w:val="0052683C"/>
    <w:rsid w:val="005444BB"/>
    <w:rsid w:val="0057535A"/>
    <w:rsid w:val="005856A3"/>
    <w:rsid w:val="005D3AE3"/>
    <w:rsid w:val="005F112C"/>
    <w:rsid w:val="00604FE5"/>
    <w:rsid w:val="0061070B"/>
    <w:rsid w:val="00654F34"/>
    <w:rsid w:val="006C7D8B"/>
    <w:rsid w:val="006D3CE0"/>
    <w:rsid w:val="006D7166"/>
    <w:rsid w:val="0071382B"/>
    <w:rsid w:val="00717B54"/>
    <w:rsid w:val="00723AB0"/>
    <w:rsid w:val="0073610C"/>
    <w:rsid w:val="0077752D"/>
    <w:rsid w:val="007B6A7C"/>
    <w:rsid w:val="007B70A3"/>
    <w:rsid w:val="007D4172"/>
    <w:rsid w:val="007E7DEB"/>
    <w:rsid w:val="00806A11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86ADE"/>
    <w:rsid w:val="008A75A9"/>
    <w:rsid w:val="008B31EF"/>
    <w:rsid w:val="008E256F"/>
    <w:rsid w:val="009005E4"/>
    <w:rsid w:val="0090593C"/>
    <w:rsid w:val="0095178B"/>
    <w:rsid w:val="00983519"/>
    <w:rsid w:val="009925B9"/>
    <w:rsid w:val="009B07BD"/>
    <w:rsid w:val="009D390D"/>
    <w:rsid w:val="00AA315F"/>
    <w:rsid w:val="00AA51F5"/>
    <w:rsid w:val="00AF5D3B"/>
    <w:rsid w:val="00B247A6"/>
    <w:rsid w:val="00B752C7"/>
    <w:rsid w:val="00B92220"/>
    <w:rsid w:val="00B93B26"/>
    <w:rsid w:val="00BA2415"/>
    <w:rsid w:val="00BC7C85"/>
    <w:rsid w:val="00BE79B8"/>
    <w:rsid w:val="00C84711"/>
    <w:rsid w:val="00CA067B"/>
    <w:rsid w:val="00CA07D6"/>
    <w:rsid w:val="00CA541D"/>
    <w:rsid w:val="00CD4F0D"/>
    <w:rsid w:val="00D051DB"/>
    <w:rsid w:val="00D80DB1"/>
    <w:rsid w:val="00DB5F7E"/>
    <w:rsid w:val="00DB72D0"/>
    <w:rsid w:val="00DC2026"/>
    <w:rsid w:val="00DC6DA9"/>
    <w:rsid w:val="00DC791A"/>
    <w:rsid w:val="00DD5753"/>
    <w:rsid w:val="00E02F1C"/>
    <w:rsid w:val="00E63425"/>
    <w:rsid w:val="00E66587"/>
    <w:rsid w:val="00E82FE9"/>
    <w:rsid w:val="00E86B7C"/>
    <w:rsid w:val="00E91E7D"/>
    <w:rsid w:val="00EA3C16"/>
    <w:rsid w:val="00F517E7"/>
    <w:rsid w:val="00F74B92"/>
    <w:rsid w:val="00F75E29"/>
    <w:rsid w:val="00F761F3"/>
    <w:rsid w:val="00F919C9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E4AD-80F2-4AEC-88D9-254EB1B6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13</cp:revision>
  <cp:lastPrinted>2016-12-19T17:49:00Z</cp:lastPrinted>
  <dcterms:created xsi:type="dcterms:W3CDTF">2016-12-19T14:12:00Z</dcterms:created>
  <dcterms:modified xsi:type="dcterms:W3CDTF">2016-12-19T17:49:00Z</dcterms:modified>
</cp:coreProperties>
</file>